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tbl>
      <w:tblPr>
        <w:tblStyle w:val="5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1902"/>
        <w:gridCol w:w="1724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7"/>
                <w:szCs w:val="27"/>
                <w:lang w:eastAsia="zh-CN"/>
              </w:rPr>
              <w:t>羊粪生物菌发酵资源化利用技术的研究及产业化项目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90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2020GN02</w:t>
            </w:r>
          </w:p>
        </w:tc>
        <w:tc>
          <w:tcPr>
            <w:tcW w:w="172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项目负责人</w:t>
            </w:r>
          </w:p>
        </w:tc>
        <w:tc>
          <w:tcPr>
            <w:tcW w:w="295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谢莹荣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湖州青牧生态农业发展有限公司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谢莹荣、刘志强、周姣红、谢新安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141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57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关荣发、冯晓宇、周胜军、朱丹华、王方明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2" w:hRule="atLeast"/>
        </w:trPr>
        <w:tc>
          <w:tcPr>
            <w:tcW w:w="8719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　　2022</w:t>
            </w:r>
            <w:r>
              <w:rPr>
                <w:rFonts w:hint="eastAsia"/>
                <w:sz w:val="28"/>
                <w:szCs w:val="28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/>
                <w:sz w:val="28"/>
                <w:szCs w:val="28"/>
                <w:lang w:eastAsia="zh-CN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/>
                <w:sz w:val="28"/>
                <w:szCs w:val="28"/>
                <w:lang w:eastAsia="zh-CN"/>
              </w:rPr>
              <w:t>日，湖州市科学技术局组织专家对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湖州青牧生态农业发展有限公司</w:t>
            </w:r>
            <w:r>
              <w:rPr>
                <w:rFonts w:hint="eastAsia"/>
                <w:sz w:val="28"/>
                <w:szCs w:val="28"/>
                <w:lang w:eastAsia="zh-CN"/>
              </w:rPr>
              <w:t>承担的市级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攻关计划农业</w:t>
            </w:r>
            <w:r>
              <w:rPr>
                <w:rFonts w:hint="eastAsia"/>
                <w:sz w:val="28"/>
                <w:szCs w:val="28"/>
                <w:lang w:eastAsia="zh-CN"/>
              </w:rPr>
              <w:t>项目</w:t>
            </w:r>
            <w:r>
              <w:rPr>
                <w:rFonts w:hint="eastAsia"/>
                <w:sz w:val="27"/>
                <w:szCs w:val="27"/>
                <w:lang w:eastAsia="zh-CN"/>
              </w:rPr>
              <w:t>羊粪生物菌发酵资源化利用技术的研究及产业化项目</w:t>
            </w:r>
            <w:r>
              <w:rPr>
                <w:rFonts w:hint="eastAsia"/>
                <w:sz w:val="28"/>
                <w:szCs w:val="28"/>
                <w:lang w:eastAsia="zh-CN"/>
              </w:rPr>
              <w:t>（编号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2020GN02</w:t>
            </w:r>
            <w:r>
              <w:rPr>
                <w:rFonts w:hint="eastAsia"/>
                <w:sz w:val="28"/>
                <w:szCs w:val="28"/>
                <w:lang w:eastAsia="zh-CN"/>
              </w:rPr>
              <w:t>）进行了会议验收。验收组审阅了相关材料，听取了项目组的工作汇报，经质询、讨论，形成验收意见如下：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一、提供的验收资料齐全、规范，符合验收要求。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二、项目开展了羊粪预处理后接种细黄链霉菌试验,经羊粪+菌剂的不同比例、不同发酵时间处理后，达到除臭、杀虫卵、提升肥效等效果，并将发酵产品制成为成品有机肥。产品经正信检测检测(报告编号: FC0922016F)，所检指标符合项目任务书要求。项目申请实用新型专利1件。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三、项目预算总经费 52.72万元，其中市财政科技补助经费10万元。经项目承担单位财务决算，实际经费支出55.62万元，均为企业自筹，经费使用基本合理。</w:t>
            </w:r>
          </w:p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验收组认为，该项目已完成项目任务书规定的主要内容和任务，同意通过验收。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ODBiMTU0N2QzZjIxODY1ODE1MWRlYjYxM2FhZjkifQ=="/>
  </w:docVars>
  <w:rsids>
    <w:rsidRoot w:val="003F0AE0"/>
    <w:rsid w:val="00257F26"/>
    <w:rsid w:val="003A541C"/>
    <w:rsid w:val="003F0AE0"/>
    <w:rsid w:val="006B25CF"/>
    <w:rsid w:val="00C161C5"/>
    <w:rsid w:val="00FC005F"/>
    <w:rsid w:val="2E56260A"/>
    <w:rsid w:val="36DA755C"/>
    <w:rsid w:val="5BFB83EB"/>
    <w:rsid w:val="664B0960"/>
    <w:rsid w:val="76BB34DF"/>
    <w:rsid w:val="7BEC4A62"/>
    <w:rsid w:val="7F3D5718"/>
    <w:rsid w:val="DF5FAFB1"/>
    <w:rsid w:val="EEEED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529</Characters>
  <Lines>1</Lines>
  <Paragraphs>1</Paragraphs>
  <TotalTime>0</TotalTime>
  <ScaleCrop>false</ScaleCrop>
  <LinksUpToDate>false</LinksUpToDate>
  <CharactersWithSpaces>531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2020-12-07T19:31:00Z</dcterms:created>
  <dc:creator>Administrator</dc:creator>
  <cp:lastModifiedBy>Huzhou</cp:lastModifiedBy>
  <dcterms:modified xsi:type="dcterms:W3CDTF">2022-12-16T13:55:24Z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D703DDB41C1D40BE8A3384595FF0E2D8</vt:lpwstr>
  </property>
</Properties>
</file>